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C696">
      <w:pPr>
        <w:rPr>
          <w:rFonts w:hint="eastAsia"/>
        </w:rPr>
      </w:pPr>
      <w:bookmarkStart w:id="0" w:name="_GoBack"/>
      <w:r>
        <w:rPr>
          <w:rFonts w:hint="eastAsia"/>
        </w:rPr>
        <w:t>宁夏农加新材料科技有限公司建设年产 6000 吨氰基乙酯建设项目（重新报批）</w:t>
      </w:r>
    </w:p>
    <w:p w14:paraId="1B3F8789">
      <w:r>
        <w:rPr>
          <w:rFonts w:hint="eastAsia"/>
        </w:rPr>
        <w:t>环境影响报告书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jljZTI5MDQwYTY0NzVkNGRhNDE0ODIzNjAwNmMifQ=="/>
  </w:docVars>
  <w:rsids>
    <w:rsidRoot w:val="2D8E7956"/>
    <w:rsid w:val="2D8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2024-10-20T05:25:00Z</dcterms:created>
  <dc:creator>薇薇</dc:creator>
  <cp:lastModifiedBy>薇薇</cp:lastModifiedBy>
  <dcterms:modified xsi:type="dcterms:W3CDTF">2024-10-20T05:30:34Z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4EC96FBED3064EFCB9FFD95CC94D3CBF_11</vt:lpwstr>
  </property>
</Properties>
</file>